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751" w14:textId="2DEC7BB1" w:rsidR="00BC2E39" w:rsidRPr="00A57AED" w:rsidRDefault="00856A9A">
      <w:pPr>
        <w:pStyle w:val="Body"/>
        <w:jc w:val="center"/>
        <w:rPr>
          <w:rFonts w:cs="Calibri"/>
          <w:b/>
          <w:bCs/>
          <w:noProof/>
          <w:sz w:val="40"/>
          <w:szCs w:val="38"/>
          <w:lang w:val="ro-RO"/>
        </w:rPr>
      </w:pPr>
      <w:r w:rsidRPr="00A57AED">
        <w:rPr>
          <w:rFonts w:cs="Calibri"/>
          <w:b/>
          <w:bCs/>
          <w:noProof/>
          <w:sz w:val="40"/>
          <w:szCs w:val="38"/>
          <w:lang w:val="ro-RO"/>
        </w:rPr>
        <w:t>Mastercard Bank of the Year</w:t>
      </w:r>
      <w:r w:rsidR="00353679" w:rsidRPr="00A57AED">
        <w:rPr>
          <w:rFonts w:cs="Calibri"/>
          <w:b/>
          <w:bCs/>
          <w:noProof/>
          <w:sz w:val="40"/>
          <w:szCs w:val="38"/>
          <w:lang w:val="ro-RO"/>
        </w:rPr>
        <w:t xml:space="preserve"> 202</w:t>
      </w:r>
      <w:r w:rsidR="00750D5F" w:rsidRPr="00A57AED">
        <w:rPr>
          <w:rFonts w:cs="Calibri"/>
          <w:b/>
          <w:bCs/>
          <w:noProof/>
          <w:sz w:val="40"/>
          <w:szCs w:val="38"/>
          <w:lang w:val="ro-RO"/>
        </w:rPr>
        <w:t>4</w:t>
      </w:r>
    </w:p>
    <w:p w14:paraId="1672163E" w14:textId="77777777" w:rsidR="00353679" w:rsidRPr="00A57AED" w:rsidRDefault="00353679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49D0B752" w14:textId="39236F61" w:rsidR="00BC2E39" w:rsidRPr="00A57AED" w:rsidRDefault="00856A9A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A57AED">
        <w:rPr>
          <w:rFonts w:cs="Calibri"/>
          <w:b/>
          <w:bCs/>
          <w:noProof/>
          <w:sz w:val="28"/>
          <w:szCs w:val="32"/>
          <w:lang w:val="ro-RO"/>
        </w:rPr>
        <w:t>Formular de înscriere</w:t>
      </w:r>
      <w:r w:rsidR="00353679" w:rsidRPr="00A57AED">
        <w:rPr>
          <w:rFonts w:cs="Calibri"/>
          <w:b/>
          <w:bCs/>
          <w:noProof/>
          <w:sz w:val="28"/>
          <w:szCs w:val="32"/>
          <w:lang w:val="ro-RO"/>
        </w:rPr>
        <w:t xml:space="preserve"> în competiție</w:t>
      </w:r>
    </w:p>
    <w:p w14:paraId="49D0B753" w14:textId="1444CC51" w:rsidR="00BC2E39" w:rsidRPr="00A57AED" w:rsidRDefault="00856A9A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A57AED">
        <w:rPr>
          <w:rFonts w:cs="Calibri"/>
          <w:b/>
          <w:bCs/>
          <w:noProof/>
          <w:sz w:val="28"/>
          <w:szCs w:val="32"/>
          <w:lang w:val="ro-RO"/>
        </w:rPr>
        <w:t>Categoria</w:t>
      </w:r>
      <w:r w:rsidR="00353679" w:rsidRPr="00A57AED">
        <w:rPr>
          <w:rFonts w:cs="Calibri"/>
          <w:b/>
          <w:bCs/>
          <w:noProof/>
          <w:sz w:val="28"/>
          <w:szCs w:val="32"/>
          <w:lang w:val="ro-RO"/>
        </w:rPr>
        <w:t>:</w:t>
      </w:r>
      <w:r w:rsidRPr="00A57AED">
        <w:rPr>
          <w:rFonts w:cs="Calibri"/>
          <w:b/>
          <w:bCs/>
          <w:noProof/>
          <w:sz w:val="28"/>
          <w:szCs w:val="32"/>
          <w:lang w:val="ro-RO"/>
        </w:rPr>
        <w:t xml:space="preserve"> Fin</w:t>
      </w:r>
      <w:r w:rsidR="00353679" w:rsidRPr="00A57AED">
        <w:rPr>
          <w:rFonts w:cs="Calibri"/>
          <w:b/>
          <w:bCs/>
          <w:noProof/>
          <w:sz w:val="28"/>
          <w:szCs w:val="32"/>
          <w:lang w:val="ro-RO"/>
        </w:rPr>
        <w:t>te</w:t>
      </w:r>
      <w:r w:rsidRPr="00A57AED">
        <w:rPr>
          <w:rFonts w:cs="Calibri"/>
          <w:b/>
          <w:bCs/>
          <w:noProof/>
          <w:sz w:val="28"/>
          <w:szCs w:val="32"/>
          <w:lang w:val="ro-RO"/>
        </w:rPr>
        <w:t xml:space="preserve">ch-ul </w:t>
      </w:r>
      <w:r w:rsidR="00750D5F" w:rsidRPr="00A57AED">
        <w:rPr>
          <w:rFonts w:cs="Calibri"/>
          <w:b/>
          <w:bCs/>
          <w:noProof/>
          <w:sz w:val="28"/>
          <w:szCs w:val="32"/>
          <w:lang w:val="ro-RO"/>
        </w:rPr>
        <w:t>r</w:t>
      </w:r>
      <w:r w:rsidRPr="00A57AED">
        <w:rPr>
          <w:rFonts w:cs="Calibri"/>
          <w:b/>
          <w:bCs/>
          <w:noProof/>
          <w:sz w:val="28"/>
          <w:szCs w:val="32"/>
          <w:lang w:val="ro-RO"/>
        </w:rPr>
        <w:t xml:space="preserve">omânesc al </w:t>
      </w:r>
      <w:r w:rsidR="00750D5F" w:rsidRPr="00A57AED">
        <w:rPr>
          <w:rFonts w:cs="Calibri"/>
          <w:b/>
          <w:bCs/>
          <w:noProof/>
          <w:sz w:val="28"/>
          <w:szCs w:val="32"/>
          <w:lang w:val="ro-RO"/>
        </w:rPr>
        <w:t>a</w:t>
      </w:r>
      <w:r w:rsidRPr="00A57AED">
        <w:rPr>
          <w:rFonts w:cs="Calibri"/>
          <w:b/>
          <w:bCs/>
          <w:noProof/>
          <w:sz w:val="28"/>
          <w:szCs w:val="32"/>
          <w:lang w:val="ro-RO"/>
        </w:rPr>
        <w:t>nului 202</w:t>
      </w:r>
      <w:r w:rsidR="00750D5F" w:rsidRPr="00A57AED">
        <w:rPr>
          <w:rFonts w:cs="Calibri"/>
          <w:b/>
          <w:bCs/>
          <w:noProof/>
          <w:sz w:val="28"/>
          <w:szCs w:val="32"/>
          <w:lang w:val="ro-RO"/>
        </w:rPr>
        <w:t>3</w:t>
      </w:r>
    </w:p>
    <w:p w14:paraId="49D0B754" w14:textId="77777777" w:rsidR="00BC2E39" w:rsidRPr="00A57AED" w:rsidRDefault="00BC2E39">
      <w:pPr>
        <w:pStyle w:val="Body"/>
        <w:jc w:val="center"/>
        <w:rPr>
          <w:rFonts w:eastAsia="Arial" w:cs="Calibri"/>
          <w:i/>
          <w:iCs/>
          <w:noProof/>
          <w:sz w:val="18"/>
          <w:szCs w:val="18"/>
          <w:lang w:val="ro-RO"/>
        </w:rPr>
      </w:pPr>
    </w:p>
    <w:p w14:paraId="49D0B755" w14:textId="2E5EF60D" w:rsidR="00BC2E39" w:rsidRPr="00A57AED" w:rsidRDefault="00856A9A">
      <w:pPr>
        <w:pStyle w:val="Body"/>
        <w:jc w:val="center"/>
        <w:rPr>
          <w:rFonts w:eastAsia="Arial" w:cs="Calibri"/>
          <w:i/>
          <w:iCs/>
          <w:noProof/>
          <w:sz w:val="18"/>
          <w:szCs w:val="18"/>
          <w:lang w:val="ro-RO"/>
        </w:rPr>
      </w:pPr>
      <w:r w:rsidRPr="00A57AED">
        <w:rPr>
          <w:rFonts w:cs="Calibri"/>
          <w:i/>
          <w:iCs/>
          <w:noProof/>
          <w:color w:val="FF0000"/>
          <w:sz w:val="18"/>
          <w:szCs w:val="18"/>
          <w:u w:color="FF0000"/>
          <w:lang w:val="ro-RO"/>
        </w:rPr>
        <w:t>*Companii eligibile</w:t>
      </w:r>
      <w:r w:rsidRPr="00A57AED">
        <w:rPr>
          <w:rFonts w:cs="Calibri"/>
          <w:i/>
          <w:iCs/>
          <w:noProof/>
          <w:sz w:val="18"/>
          <w:szCs w:val="18"/>
          <w:lang w:val="ro-RO"/>
        </w:rPr>
        <w:t>: O companie de tip start-up care creează software proprietar sau utilizează tehnologii emergente pentru a îmbunătăți serviciile financiare existente, prin automatizare sau transformare radicală a fluxurilor tradiționale, sau creează noi tipuri de servicii financiare neexplorate până acum de actorii tradiționali din industrie</w:t>
      </w:r>
      <w:r w:rsidR="00E65EF1" w:rsidRPr="00A57AED">
        <w:rPr>
          <w:rFonts w:cs="Calibri"/>
          <w:i/>
          <w:iCs/>
          <w:noProof/>
          <w:sz w:val="18"/>
          <w:szCs w:val="18"/>
          <w:lang w:val="ro-RO"/>
        </w:rPr>
        <w:t>.</w:t>
      </w:r>
      <w:r w:rsidR="00750D5F" w:rsidRPr="00A57AED">
        <w:rPr>
          <w:rFonts w:cs="Calibri"/>
          <w:i/>
          <w:iCs/>
          <w:noProof/>
          <w:sz w:val="18"/>
          <w:szCs w:val="18"/>
          <w:lang w:val="ro-RO"/>
        </w:rPr>
        <w:t xml:space="preserve"> </w:t>
      </w:r>
      <w:r w:rsidR="00E65EF1" w:rsidRPr="00A57AED">
        <w:rPr>
          <w:rFonts w:cs="Calibri"/>
          <w:i/>
          <w:iCs/>
          <w:noProof/>
          <w:sz w:val="18"/>
          <w:szCs w:val="18"/>
          <w:lang w:val="ro-RO"/>
        </w:rPr>
        <w:t>Companii fondate în România.</w:t>
      </w:r>
    </w:p>
    <w:p w14:paraId="49D0B756" w14:textId="77777777" w:rsidR="00BC2E39" w:rsidRPr="00A57AED" w:rsidRDefault="00BC2E39">
      <w:pPr>
        <w:pStyle w:val="Body"/>
        <w:jc w:val="center"/>
        <w:rPr>
          <w:rFonts w:eastAsia="Arial" w:cs="Calibri"/>
          <w:i/>
          <w:iCs/>
          <w:noProof/>
          <w:sz w:val="18"/>
          <w:szCs w:val="18"/>
          <w:lang w:val="ro-RO"/>
        </w:rPr>
      </w:pPr>
    </w:p>
    <w:tbl>
      <w:tblPr>
        <w:tblW w:w="9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1985"/>
        <w:gridCol w:w="5055"/>
      </w:tblGrid>
      <w:tr w:rsidR="00BC2E39" w:rsidRPr="00A57AED" w14:paraId="49D0B758" w14:textId="77777777">
        <w:trPr>
          <w:trHeight w:val="317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57" w14:textId="77777777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BC2E39" w:rsidRPr="00A57AED" w14:paraId="49D0B75B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59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5A" w14:textId="77777777" w:rsidR="00BC2E39" w:rsidRPr="00A57AED" w:rsidRDefault="00BC2E39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BC2E39" w:rsidRPr="00A57AED" w14:paraId="49D0B75F" w14:textId="77777777" w:rsidTr="00DC515B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B75C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5D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5E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 </w:t>
            </w:r>
          </w:p>
        </w:tc>
      </w:tr>
      <w:tr w:rsidR="00BC2E39" w:rsidRPr="00A57AED" w14:paraId="49D0B763" w14:textId="77777777" w:rsidTr="00DC515B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B760" w14:textId="77777777" w:rsidR="00BC2E39" w:rsidRPr="00A57AED" w:rsidRDefault="00BC2E39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1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2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 </w:t>
            </w:r>
          </w:p>
        </w:tc>
      </w:tr>
      <w:tr w:rsidR="00BC2E39" w:rsidRPr="00A57AED" w14:paraId="49D0B767" w14:textId="77777777" w:rsidTr="00DC515B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B764" w14:textId="77777777" w:rsidR="00BC2E39" w:rsidRPr="00A57AED" w:rsidRDefault="00BC2E39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5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6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 </w:t>
            </w:r>
          </w:p>
        </w:tc>
      </w:tr>
      <w:tr w:rsidR="00BC2E39" w:rsidRPr="00A57AED" w14:paraId="49D0B76B" w14:textId="77777777" w:rsidTr="00DC515B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B768" w14:textId="77777777" w:rsidR="00BC2E39" w:rsidRPr="00A57AED" w:rsidRDefault="00BC2E39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9" w14:textId="66B95F3F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Nr. de tel</w:t>
            </w:r>
            <w:r w:rsidR="00DC515B" w:rsidRPr="00A57AED">
              <w:rPr>
                <w:rFonts w:cs="Calibri"/>
                <w:noProof/>
                <w:lang w:val="ro-RO"/>
              </w:rPr>
              <w:t>efon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A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 </w:t>
            </w:r>
          </w:p>
        </w:tc>
      </w:tr>
      <w:tr w:rsidR="00BC2E39" w:rsidRPr="00A57AED" w14:paraId="49D0B76D" w14:textId="77777777">
        <w:trPr>
          <w:trHeight w:val="760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B76C" w14:textId="77777777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BC2E39" w:rsidRPr="00A57AED" w14:paraId="49D0B770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6E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B76F" w14:textId="2C9C2EA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FINTECH-UL ROMÂNESC AL ANULUI 202</w:t>
            </w:r>
            <w:r w:rsidR="00750D5F" w:rsidRPr="00A57AED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BC2E39" w:rsidRPr="00A57AED" w14:paraId="49D0B773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1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2" w14:textId="3E56E3C9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Performanța în 202</w:t>
            </w:r>
            <w:r w:rsidR="00750D5F"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3</w:t>
            </w:r>
            <w:r w:rsidR="00954A0D"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/</w:t>
            </w:r>
            <w:r w:rsidR="00954A0D" w:rsidRPr="00A57AED">
              <w:rPr>
                <w:rFonts w:cs="Calibri"/>
                <w:b/>
                <w:bCs/>
                <w:noProof/>
                <w:sz w:val="28"/>
                <w:szCs w:val="26"/>
                <w:lang w:val="ro-RO"/>
              </w:rPr>
              <w:t xml:space="preserve"> </w:t>
            </w:r>
            <w:r w:rsidR="00954A0D"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Creșterea numărului de clienți</w:t>
            </w:r>
          </w:p>
        </w:tc>
      </w:tr>
      <w:tr w:rsidR="00BC2E39" w:rsidRPr="00A57AED" w14:paraId="49D0B779" w14:textId="77777777" w:rsidTr="00DC515B">
        <w:trPr>
          <w:trHeight w:val="289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7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8" w14:textId="605DF48A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 xml:space="preserve">Companiile </w:t>
            </w:r>
            <w:r w:rsidR="00A57AED" w:rsidRPr="00A57AED">
              <w:rPr>
                <w:rFonts w:cs="Calibri"/>
                <w:noProof/>
                <w:lang w:val="ro-RO"/>
              </w:rPr>
              <w:t>f</w:t>
            </w:r>
            <w:r w:rsidRPr="00A57AED">
              <w:rPr>
                <w:rFonts w:cs="Calibri"/>
                <w:noProof/>
                <w:lang w:val="ro-RO"/>
              </w:rPr>
              <w:t>in</w:t>
            </w:r>
            <w:r w:rsidR="00A57AED" w:rsidRPr="00A57AED">
              <w:rPr>
                <w:rFonts w:cs="Calibri"/>
                <w:noProof/>
                <w:lang w:val="ro-RO"/>
              </w:rPr>
              <w:t>t</w:t>
            </w:r>
            <w:r w:rsidRPr="00A57AED">
              <w:rPr>
                <w:rFonts w:cs="Calibri"/>
                <w:noProof/>
                <w:lang w:val="ro-RO"/>
              </w:rPr>
              <w:t>ech care au capacitatea să își crească baza de clienți de la un an la altul (creșterea fiind măsurată în procente, nu nominal).</w:t>
            </w:r>
          </w:p>
        </w:tc>
      </w:tr>
      <w:tr w:rsidR="00BC2E39" w:rsidRPr="00A57AED" w14:paraId="49D0B77D" w14:textId="77777777" w:rsidTr="00DC515B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A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B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Vă rugăm să menționați:</w:t>
            </w:r>
          </w:p>
          <w:p w14:paraId="047D566E" w14:textId="08888520" w:rsidR="00863872" w:rsidRPr="00A57AED" w:rsidRDefault="00856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Numărul clienților în 202</w:t>
            </w:r>
            <w:r w:rsidR="00A57AED" w:rsidRPr="00A57AED">
              <w:rPr>
                <w:rFonts w:cs="Calibri"/>
                <w:noProof/>
                <w:lang w:val="ro-RO"/>
              </w:rPr>
              <w:t>3</w:t>
            </w:r>
            <w:r w:rsidRPr="00A57AED">
              <w:rPr>
                <w:rFonts w:cs="Calibri"/>
                <w:noProof/>
                <w:lang w:val="ro-RO"/>
              </w:rPr>
              <w:t xml:space="preserve"> </w:t>
            </w:r>
          </w:p>
          <w:p w14:paraId="49D0B77C" w14:textId="427BFD8C" w:rsidR="00BC2E39" w:rsidRPr="00A57AED" w:rsidRDefault="008638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 xml:space="preserve">Numărul clienților în </w:t>
            </w:r>
            <w:r w:rsidR="00856A9A" w:rsidRPr="00A57AED">
              <w:rPr>
                <w:rFonts w:cs="Calibri"/>
                <w:noProof/>
                <w:lang w:val="ro-RO"/>
              </w:rPr>
              <w:t>202</w:t>
            </w:r>
            <w:r w:rsidR="00A57AED" w:rsidRPr="00A57AED">
              <w:rPr>
                <w:rFonts w:cs="Calibri"/>
                <w:noProof/>
                <w:lang w:val="ro-RO"/>
              </w:rPr>
              <w:t>2</w:t>
            </w:r>
          </w:p>
        </w:tc>
      </w:tr>
      <w:tr w:rsidR="00BC2E39" w:rsidRPr="00A57AED" w14:paraId="49D0B782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7E" w14:textId="77777777" w:rsidR="00BC2E39" w:rsidRPr="00A57AED" w:rsidRDefault="00BC2E39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en-GB"/>
              </w:rPr>
            </w:pPr>
          </w:p>
          <w:p w14:paraId="49D0B77F" w14:textId="77777777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9D0B780" w14:textId="7F20F6BD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f</w:t>
            </w: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t</w:t>
            </w: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ech-urilor</w:t>
            </w:r>
          </w:p>
          <w:p w14:paraId="49D0B781" w14:textId="77777777" w:rsidR="00BC2E39" w:rsidRPr="00A57AED" w:rsidRDefault="00BC2E39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BC2E39" w:rsidRPr="00A57AED" w14:paraId="49D0B785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3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4" w14:textId="7C45CB1C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Cele mai notabile realizări în 202</w:t>
            </w:r>
            <w:r w:rsidR="00A57AED"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BC2E39" w:rsidRPr="00A57AED" w14:paraId="49D0B788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6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7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Proiecte cheie</w:t>
            </w:r>
          </w:p>
        </w:tc>
      </w:tr>
      <w:tr w:rsidR="00BC2E39" w:rsidRPr="00A57AED" w14:paraId="49D0B78B" w14:textId="77777777" w:rsidTr="00DC515B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9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A" w14:textId="781F1623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 xml:space="preserve">Care sunt principalele proiecte care au oferit servicii noi </w:t>
            </w:r>
            <w:r w:rsidR="00D57E32" w:rsidRPr="00A57AED">
              <w:rPr>
                <w:rFonts w:cs="Calibri"/>
                <w:noProof/>
                <w:lang w:val="ro-RO"/>
              </w:rPr>
              <w:t xml:space="preserve">segmentelor </w:t>
            </w:r>
            <w:r w:rsidRPr="00A57AED">
              <w:rPr>
                <w:rFonts w:cs="Calibri"/>
                <w:noProof/>
                <w:lang w:val="ro-RO"/>
              </w:rPr>
              <w:t>țintă sau au dus la creșterea valorii de piața a fintech-ului</w:t>
            </w:r>
            <w:r w:rsidR="00D518A3" w:rsidRPr="00A57AED">
              <w:rPr>
                <w:rFonts w:cs="Calibri"/>
                <w:noProof/>
                <w:lang w:val="ro-RO"/>
              </w:rPr>
              <w:t xml:space="preserve"> și ce rezultate au obținut</w:t>
            </w:r>
            <w:r w:rsidRPr="00A57AED">
              <w:rPr>
                <w:rFonts w:cs="Calibri"/>
                <w:noProof/>
                <w:lang w:val="ro-RO"/>
              </w:rPr>
              <w:t>.</w:t>
            </w:r>
          </w:p>
        </w:tc>
      </w:tr>
      <w:tr w:rsidR="00BC2E39" w:rsidRPr="00A57AED" w14:paraId="49D0B78E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C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D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Text, max. 500 cuvinte (max 3 proiecte)</w:t>
            </w:r>
          </w:p>
        </w:tc>
      </w:tr>
      <w:tr w:rsidR="00BC2E39" w:rsidRPr="00A57AED" w14:paraId="49D0B793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8F" w14:textId="77777777" w:rsidR="00BC2E39" w:rsidRPr="00A57AED" w:rsidRDefault="00BC2E39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49D0B790" w14:textId="77777777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9D0B791" w14:textId="1B7AABBE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f</w:t>
            </w: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t</w:t>
            </w: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ech-urilor</w:t>
            </w:r>
          </w:p>
          <w:p w14:paraId="49D0B792" w14:textId="77777777" w:rsidR="00BC2E39" w:rsidRPr="00A57AED" w:rsidRDefault="00BC2E39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BC2E39" w:rsidRPr="00A57AED" w14:paraId="49D0B796" w14:textId="77777777" w:rsidTr="00DC515B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4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5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Numărul tehnologiilor emergente utilizate de către fintech pentru dezvoltarea soluției/produsului</w:t>
            </w:r>
          </w:p>
        </w:tc>
      </w:tr>
      <w:tr w:rsidR="00BC2E39" w:rsidRPr="00A57AED" w14:paraId="49D0B799" w14:textId="77777777" w:rsidTr="00DC515B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7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8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Tehnologii emergente utilizate pentru îmbunătățirea serviciilor financiare sau pentru crearea de noi tipuri de servicii financiare</w:t>
            </w:r>
          </w:p>
        </w:tc>
      </w:tr>
      <w:tr w:rsidR="00BC2E39" w:rsidRPr="00A57AED" w14:paraId="49D0B79E" w14:textId="77777777" w:rsidTr="00DC515B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A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B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Vă rugăm să menționați:</w:t>
            </w:r>
          </w:p>
          <w:p w14:paraId="49D0B79C" w14:textId="27BA5E47" w:rsidR="00BC2E39" w:rsidRPr="00A57AED" w:rsidRDefault="00856A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Numărul tehnologiilor emergente utilizate în 202</w:t>
            </w:r>
            <w:r w:rsidR="00A57AED" w:rsidRPr="00A57AED">
              <w:rPr>
                <w:rFonts w:cs="Calibri"/>
                <w:noProof/>
                <w:lang w:val="ro-RO"/>
              </w:rPr>
              <w:t>3</w:t>
            </w:r>
          </w:p>
          <w:p w14:paraId="49D0B79D" w14:textId="55C51FC3" w:rsidR="00BC2E39" w:rsidRPr="00A57AED" w:rsidRDefault="00856A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Detalii despre tehnologiile emergente utilizate în 202</w:t>
            </w:r>
            <w:r w:rsidR="00A57AED" w:rsidRPr="00A57AED">
              <w:rPr>
                <w:rFonts w:cs="Calibri"/>
                <w:noProof/>
                <w:lang w:val="ro-RO"/>
              </w:rPr>
              <w:t>3</w:t>
            </w:r>
          </w:p>
        </w:tc>
      </w:tr>
      <w:tr w:rsidR="00BC2E39" w:rsidRPr="00A57AED" w14:paraId="49D0B7A2" w14:textId="77777777">
        <w:trPr>
          <w:trHeight w:val="128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9F" w14:textId="77777777" w:rsidR="00BC2E39" w:rsidRPr="00A57AED" w:rsidRDefault="00BC2E39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49D0B7A0" w14:textId="77777777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79F5C258" w14:textId="235A7700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f</w:t>
            </w:r>
            <w:r w:rsidR="00AC7992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t</w:t>
            </w:r>
            <w:r w:rsidR="00AC7992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ech-urilor</w:t>
            </w:r>
          </w:p>
          <w:p w14:paraId="49D0B7A1" w14:textId="036FFAD0" w:rsidR="00AC7992" w:rsidRPr="00A57AED" w:rsidRDefault="00AC7992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BC2E39" w:rsidRPr="00A57AED" w14:paraId="49D0B7A5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3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4" w14:textId="2434335E" w:rsidR="00BC2E39" w:rsidRPr="00A57AED" w:rsidRDefault="00954A0D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Diferențiatori</w:t>
            </w:r>
          </w:p>
        </w:tc>
      </w:tr>
      <w:tr w:rsidR="00BC2E39" w:rsidRPr="00A57AED" w14:paraId="49D0B7AB" w14:textId="77777777" w:rsidTr="00DC515B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9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A" w14:textId="7F2E16B5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 xml:space="preserve">De ce este fintech-ul dumneavoastră o alternativă mai bună decât </w:t>
            </w:r>
            <w:r w:rsidR="00A91A15" w:rsidRPr="00A57AED">
              <w:rPr>
                <w:rFonts w:cs="Calibri"/>
                <w:noProof/>
                <w:lang w:val="ro-RO"/>
              </w:rPr>
              <w:t xml:space="preserve">companiile </w:t>
            </w:r>
            <w:r w:rsidRPr="00A57AED">
              <w:rPr>
                <w:rFonts w:cs="Calibri"/>
                <w:noProof/>
                <w:lang w:val="ro-RO"/>
              </w:rPr>
              <w:t>concuren</w:t>
            </w:r>
            <w:r w:rsidR="00A91A15" w:rsidRPr="00A57AED">
              <w:rPr>
                <w:rFonts w:cs="Calibri"/>
                <w:noProof/>
                <w:lang w:val="ro-RO"/>
              </w:rPr>
              <w:t>te</w:t>
            </w:r>
            <w:r w:rsidR="00CC40EC" w:rsidRPr="00A57AED">
              <w:rPr>
                <w:rFonts w:cs="Calibri"/>
                <w:noProof/>
                <w:lang w:val="ro-RO"/>
              </w:rPr>
              <w:t>?</w:t>
            </w:r>
          </w:p>
        </w:tc>
      </w:tr>
      <w:tr w:rsidR="00BC2E39" w:rsidRPr="00A57AED" w14:paraId="49D0B7AE" w14:textId="77777777" w:rsidTr="00DC515B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C" w14:textId="77777777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D" w14:textId="5D9F82AD" w:rsidR="00BC2E39" w:rsidRPr="00A57AED" w:rsidRDefault="00856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57AED">
              <w:rPr>
                <w:rFonts w:cs="Calibri"/>
                <w:noProof/>
                <w:lang w:val="ro-RO"/>
              </w:rPr>
              <w:t>Text</w:t>
            </w:r>
            <w:r w:rsidR="00CC40EC" w:rsidRPr="00A57AED">
              <w:rPr>
                <w:rFonts w:cs="Calibri"/>
                <w:noProof/>
                <w:lang w:val="ro-RO"/>
              </w:rPr>
              <w:t>:</w:t>
            </w:r>
            <w:r w:rsidRPr="00A57AED">
              <w:rPr>
                <w:rFonts w:cs="Calibri"/>
                <w:noProof/>
                <w:lang w:val="ro-RO"/>
              </w:rPr>
              <w:t xml:space="preserve"> max. 500</w:t>
            </w:r>
            <w:r w:rsidR="00CC40EC" w:rsidRPr="00A57AED">
              <w:rPr>
                <w:rFonts w:cs="Calibri"/>
                <w:noProof/>
                <w:lang w:val="ro-RO"/>
              </w:rPr>
              <w:t xml:space="preserve"> de</w:t>
            </w:r>
            <w:r w:rsidRPr="00A57AED">
              <w:rPr>
                <w:rFonts w:cs="Calibri"/>
                <w:noProof/>
                <w:lang w:val="ro-RO"/>
              </w:rPr>
              <w:t xml:space="preserve"> cuvinte </w:t>
            </w:r>
          </w:p>
        </w:tc>
      </w:tr>
      <w:tr w:rsidR="00BC2E39" w:rsidRPr="00A57AED" w14:paraId="49D0B7B3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B7AF" w14:textId="77777777" w:rsidR="00BC2E39" w:rsidRPr="00A57AED" w:rsidRDefault="00BC2E39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49D0B7B0" w14:textId="77777777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A57AED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9D0B7B1" w14:textId="5F0DEDE1" w:rsidR="00BC2E39" w:rsidRPr="00A57AED" w:rsidRDefault="00856A9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f</w:t>
            </w: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</w:t>
            </w:r>
            <w:r w:rsidR="00A57AED"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t</w:t>
            </w:r>
            <w:r w:rsidRPr="00A57AE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ech-urilor</w:t>
            </w:r>
          </w:p>
          <w:p w14:paraId="49D0B7B2" w14:textId="77777777" w:rsidR="00BC2E39" w:rsidRPr="00A57AED" w:rsidRDefault="00BC2E3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</w:p>
        </w:tc>
      </w:tr>
    </w:tbl>
    <w:p w14:paraId="49D0B7B4" w14:textId="77777777" w:rsidR="00BC2E39" w:rsidRPr="00A57AED" w:rsidRDefault="00BC2E39">
      <w:pPr>
        <w:pStyle w:val="Body"/>
        <w:widowControl w:val="0"/>
        <w:spacing w:line="240" w:lineRule="auto"/>
        <w:jc w:val="center"/>
        <w:rPr>
          <w:rFonts w:eastAsia="Arial" w:cs="Calibri"/>
          <w:i/>
          <w:iCs/>
          <w:noProof/>
          <w:sz w:val="18"/>
          <w:szCs w:val="18"/>
          <w:lang w:val="ro-RO"/>
        </w:rPr>
      </w:pPr>
    </w:p>
    <w:p w14:paraId="49D0B7B5" w14:textId="77777777" w:rsidR="00BC2E39" w:rsidRPr="00A57AED" w:rsidRDefault="00BC2E39">
      <w:pPr>
        <w:pStyle w:val="Body"/>
        <w:jc w:val="center"/>
        <w:rPr>
          <w:rFonts w:cs="Calibri"/>
          <w:noProof/>
          <w:lang w:val="en-GB"/>
        </w:rPr>
      </w:pPr>
    </w:p>
    <w:sectPr w:rsidR="00BC2E39" w:rsidRPr="00A57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BD97" w14:textId="77777777" w:rsidR="00DD71F7" w:rsidRDefault="00DD71F7">
      <w:r>
        <w:separator/>
      </w:r>
    </w:p>
  </w:endnote>
  <w:endnote w:type="continuationSeparator" w:id="0">
    <w:p w14:paraId="34E84D22" w14:textId="77777777" w:rsidR="00DD71F7" w:rsidRDefault="00DD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D68" w14:textId="77777777" w:rsidR="00856A9A" w:rsidRDefault="0085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B7B7" w14:textId="5CB36F9D" w:rsidR="00BC2E39" w:rsidRPr="006A4599" w:rsidRDefault="006A4599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exclusiv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juriului Mastercard Bank of the Year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2023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8506" w14:textId="77777777" w:rsidR="00856A9A" w:rsidRDefault="0085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DF4C" w14:textId="77777777" w:rsidR="00DD71F7" w:rsidRDefault="00DD71F7">
      <w:r>
        <w:separator/>
      </w:r>
    </w:p>
  </w:footnote>
  <w:footnote w:type="continuationSeparator" w:id="0">
    <w:p w14:paraId="2FBFB41A" w14:textId="77777777" w:rsidR="00DD71F7" w:rsidRDefault="00DD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741B" w14:textId="77777777" w:rsidR="00856A9A" w:rsidRDefault="0085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B7B6" w14:textId="2DBDC793" w:rsidR="00BC2E39" w:rsidRDefault="00856A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E18AF" wp14:editId="2F5BBD99">
          <wp:simplePos x="0" y="0"/>
          <wp:positionH relativeFrom="column">
            <wp:posOffset>2377440</wp:posOffset>
          </wp:positionH>
          <wp:positionV relativeFrom="paragraph">
            <wp:posOffset>-1074420</wp:posOffset>
          </wp:positionV>
          <wp:extent cx="1197610" cy="739140"/>
          <wp:effectExtent l="0" t="0" r="2540" b="3810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46F7" w14:textId="77777777" w:rsidR="00856A9A" w:rsidRDefault="0085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39C"/>
    <w:multiLevelType w:val="hybridMultilevel"/>
    <w:tmpl w:val="07708C94"/>
    <w:lvl w:ilvl="0" w:tplc="882EC0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A53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C3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6B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8B4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66F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ECC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60C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ED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143EEF"/>
    <w:multiLevelType w:val="hybridMultilevel"/>
    <w:tmpl w:val="20EEB4C6"/>
    <w:lvl w:ilvl="0" w:tplc="9FB45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26B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5A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288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05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C6B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E7C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0E2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071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87326555">
    <w:abstractNumId w:val="1"/>
  </w:num>
  <w:num w:numId="2" w16cid:durableId="89577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39"/>
    <w:rsid w:val="00130B93"/>
    <w:rsid w:val="00353679"/>
    <w:rsid w:val="004D37E1"/>
    <w:rsid w:val="00571441"/>
    <w:rsid w:val="005C12E2"/>
    <w:rsid w:val="006A4599"/>
    <w:rsid w:val="006E6392"/>
    <w:rsid w:val="00750D5F"/>
    <w:rsid w:val="00803D43"/>
    <w:rsid w:val="00856A9A"/>
    <w:rsid w:val="00863872"/>
    <w:rsid w:val="00954A0D"/>
    <w:rsid w:val="00A57AED"/>
    <w:rsid w:val="00A91A15"/>
    <w:rsid w:val="00AC7992"/>
    <w:rsid w:val="00B741B7"/>
    <w:rsid w:val="00BC2E39"/>
    <w:rsid w:val="00CC40EC"/>
    <w:rsid w:val="00D518A3"/>
    <w:rsid w:val="00D57E32"/>
    <w:rsid w:val="00DC515B"/>
    <w:rsid w:val="00DD71F7"/>
    <w:rsid w:val="00E65EF1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0B751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6A4599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432B8-7279-4C37-A5A3-1B88265AA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D2A32-CA2C-45B0-B8AB-C4E3AD47ED74}">
  <ds:schemaRefs>
    <ds:schemaRef ds:uri="http://purl.org/dc/terms/"/>
    <ds:schemaRef ds:uri="http://purl.org/dc/elements/1.1/"/>
    <ds:schemaRef ds:uri="386f718f-df6d-452a-8582-bbaefbdf32c9"/>
    <ds:schemaRef ds:uri="http://schemas.openxmlformats.org/package/2006/metadata/core-properties"/>
    <ds:schemaRef ds:uri="18bc4b0f-eeb7-463a-83a5-79862cd46e3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01418A-957C-4BB0-95CD-F98D4A39B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22</cp:revision>
  <dcterms:created xsi:type="dcterms:W3CDTF">2023-03-14T15:18:00Z</dcterms:created>
  <dcterms:modified xsi:type="dcterms:W3CDTF">2024-03-19T11:07:00Z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  <property fmtid="{D5CDD505-2E9C-101B-9397-08002B2CF9AE}" pid="3" name="MediaServiceImageTags">
    <vt:lpwstr/>
  </property>
</Properties>
</file>