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A8E9" w14:textId="468813EE" w:rsidR="00197B76" w:rsidRPr="00AC6258" w:rsidRDefault="004B2ED1">
      <w:pPr>
        <w:pStyle w:val="BodyA"/>
        <w:jc w:val="center"/>
        <w:rPr>
          <w:rFonts w:eastAsia="Arial" w:cs="Calibri"/>
          <w:b/>
          <w:bCs/>
          <w:noProof/>
          <w:sz w:val="40"/>
          <w:szCs w:val="40"/>
          <w:lang w:val="ro-RO"/>
        </w:rPr>
      </w:pPr>
      <w:r w:rsidRPr="00AC6258">
        <w:rPr>
          <w:rFonts w:cs="Calibri"/>
          <w:b/>
          <w:bCs/>
          <w:noProof/>
          <w:sz w:val="40"/>
          <w:szCs w:val="40"/>
          <w:lang w:val="ro-RO"/>
        </w:rPr>
        <w:t>Mastercard Bank of the Year 202</w:t>
      </w:r>
      <w:r w:rsidR="00AC6258">
        <w:rPr>
          <w:rFonts w:cs="Calibri"/>
          <w:b/>
          <w:bCs/>
          <w:noProof/>
          <w:sz w:val="40"/>
          <w:szCs w:val="40"/>
          <w:lang w:val="ro-RO"/>
        </w:rPr>
        <w:t>4</w:t>
      </w:r>
      <w:r w:rsidRPr="00AC6258">
        <w:rPr>
          <w:rFonts w:cs="Calibri"/>
          <w:b/>
          <w:bCs/>
          <w:noProof/>
          <w:sz w:val="40"/>
          <w:szCs w:val="40"/>
          <w:lang w:val="ro-RO"/>
        </w:rPr>
        <w:t xml:space="preserve"> </w:t>
      </w:r>
    </w:p>
    <w:p w14:paraId="7E56A8EA" w14:textId="77777777" w:rsidR="00197B76" w:rsidRPr="00AC6258" w:rsidRDefault="00197B76">
      <w:pPr>
        <w:pStyle w:val="BodyA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</w:p>
    <w:p w14:paraId="7E56A8EB" w14:textId="77777777" w:rsidR="00197B76" w:rsidRPr="00AC6258" w:rsidRDefault="004B2ED1">
      <w:pPr>
        <w:pStyle w:val="BodyA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AC6258">
        <w:rPr>
          <w:rFonts w:cs="Calibri"/>
          <w:b/>
          <w:bCs/>
          <w:noProof/>
          <w:sz w:val="28"/>
          <w:szCs w:val="28"/>
          <w:lang w:val="ro-RO"/>
        </w:rPr>
        <w:t>Formular de înscriere în competiție</w:t>
      </w:r>
    </w:p>
    <w:p w14:paraId="7E56A8EC" w14:textId="36029A0E" w:rsidR="00197B76" w:rsidRPr="00AC6258" w:rsidRDefault="004B2ED1">
      <w:pPr>
        <w:pStyle w:val="Body"/>
        <w:jc w:val="center"/>
        <w:rPr>
          <w:rFonts w:ascii="Calibri" w:eastAsia="Arial" w:hAnsi="Calibri" w:cs="Calibri"/>
          <w:b/>
          <w:bCs/>
          <w:noProof/>
          <w:color w:val="C00000"/>
          <w:sz w:val="28"/>
          <w:szCs w:val="28"/>
          <w:u w:color="C00000"/>
          <w:lang w:val="ro-RO"/>
        </w:rPr>
      </w:pPr>
      <w:r w:rsidRPr="00AC6258">
        <w:rPr>
          <w:rFonts w:ascii="Calibri" w:hAnsi="Calibri" w:cs="Calibri"/>
          <w:b/>
          <w:bCs/>
          <w:noProof/>
          <w:sz w:val="28"/>
          <w:szCs w:val="28"/>
          <w:lang w:val="ro-RO"/>
        </w:rPr>
        <w:t xml:space="preserve">Categoria: </w:t>
      </w:r>
      <w:r w:rsidR="000C7E7F" w:rsidRPr="00AC6258">
        <w:rPr>
          <w:rFonts w:ascii="Calibri" w:hAnsi="Calibri" w:cs="Calibri"/>
          <w:b/>
          <w:bCs/>
          <w:noProof/>
          <w:sz w:val="28"/>
          <w:szCs w:val="28"/>
          <w:lang w:val="ro-RO"/>
        </w:rPr>
        <w:t>Cel mai bun program de loialitate</w:t>
      </w:r>
      <w:r w:rsidRPr="00AC6258">
        <w:rPr>
          <w:rFonts w:ascii="Calibri" w:hAnsi="Calibri" w:cs="Calibri"/>
          <w:b/>
          <w:bCs/>
          <w:noProof/>
          <w:sz w:val="28"/>
          <w:szCs w:val="28"/>
          <w:lang w:val="ro-RO"/>
        </w:rPr>
        <w:t xml:space="preserve"> a</w:t>
      </w:r>
      <w:r w:rsidR="000C7E7F" w:rsidRPr="00AC6258">
        <w:rPr>
          <w:rFonts w:ascii="Calibri" w:hAnsi="Calibri" w:cs="Calibri"/>
          <w:b/>
          <w:bCs/>
          <w:noProof/>
          <w:sz w:val="28"/>
          <w:szCs w:val="28"/>
          <w:lang w:val="ro-RO"/>
        </w:rPr>
        <w:t>l</w:t>
      </w:r>
      <w:r w:rsidRPr="00AC6258">
        <w:rPr>
          <w:rFonts w:ascii="Calibri" w:hAnsi="Calibri" w:cs="Calibri"/>
          <w:b/>
          <w:bCs/>
          <w:noProof/>
          <w:sz w:val="28"/>
          <w:szCs w:val="28"/>
          <w:lang w:val="ro-RO"/>
        </w:rPr>
        <w:t xml:space="preserve"> unei instituții financiare în 202</w:t>
      </w:r>
      <w:r w:rsidR="00AC6258">
        <w:rPr>
          <w:rFonts w:ascii="Calibri" w:hAnsi="Calibri" w:cs="Calibri"/>
          <w:b/>
          <w:bCs/>
          <w:noProof/>
          <w:sz w:val="28"/>
          <w:szCs w:val="28"/>
          <w:lang w:val="ro-RO"/>
        </w:rPr>
        <w:t>3</w:t>
      </w:r>
      <w:r w:rsidRPr="00AC6258">
        <w:rPr>
          <w:rFonts w:ascii="Calibri" w:hAnsi="Calibri" w:cs="Calibri"/>
          <w:b/>
          <w:bCs/>
          <w:noProof/>
          <w:sz w:val="28"/>
          <w:szCs w:val="28"/>
          <w:lang w:val="ro-RO"/>
        </w:rPr>
        <w:t xml:space="preserve"> </w:t>
      </w:r>
    </w:p>
    <w:p w14:paraId="7E56A8ED" w14:textId="77777777" w:rsidR="00197B76" w:rsidRPr="00AC6258" w:rsidRDefault="00197B76">
      <w:pPr>
        <w:pStyle w:val="Body"/>
        <w:jc w:val="center"/>
        <w:rPr>
          <w:rFonts w:ascii="Calibri" w:eastAsia="Arial" w:hAnsi="Calibri" w:cs="Calibri"/>
          <w:b/>
          <w:bCs/>
          <w:noProof/>
          <w:shd w:val="clear" w:color="auto" w:fill="FFFF00"/>
          <w:lang w:val="ro-RO"/>
        </w:rPr>
      </w:pPr>
    </w:p>
    <w:p w14:paraId="7E56A8EE" w14:textId="77777777" w:rsidR="00197B76" w:rsidRPr="00AC6258" w:rsidRDefault="00197B76">
      <w:pPr>
        <w:pStyle w:val="BodyA"/>
        <w:rPr>
          <w:rFonts w:eastAsia="Arial" w:cs="Calibri"/>
          <w:b/>
          <w:bCs/>
          <w:noProof/>
          <w:sz w:val="28"/>
          <w:szCs w:val="28"/>
          <w:lang w:val="ro-RO"/>
        </w:rPr>
      </w:pP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74"/>
        <w:gridCol w:w="1963"/>
        <w:gridCol w:w="5003"/>
      </w:tblGrid>
      <w:tr w:rsidR="00197B76" w:rsidRPr="00AC6258" w14:paraId="7E56A8F0" w14:textId="77777777">
        <w:trPr>
          <w:trHeight w:val="337"/>
          <w:jc w:val="center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EF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color w:val="C00000"/>
                <w:sz w:val="28"/>
                <w:szCs w:val="28"/>
                <w:u w:color="C00000"/>
                <w:lang w:val="ro-RO"/>
              </w:rPr>
              <w:t>INFORMAȚII APLICANT</w:t>
            </w:r>
          </w:p>
        </w:tc>
      </w:tr>
      <w:tr w:rsidR="00197B76" w:rsidRPr="00AC6258" w14:paraId="7E56A8F3" w14:textId="77777777" w:rsidTr="001D0CB3">
        <w:trPr>
          <w:trHeight w:val="300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1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2" w14:textId="77777777" w:rsidR="00197B76" w:rsidRPr="00AC6258" w:rsidRDefault="00197B76">
            <w:pPr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197B76" w:rsidRPr="00AC6258" w14:paraId="7E56A8F7" w14:textId="77777777" w:rsidTr="001D0CB3">
        <w:trPr>
          <w:trHeight w:val="231"/>
          <w:jc w:val="center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A8F4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5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Prenume și nume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6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 </w:t>
            </w:r>
          </w:p>
        </w:tc>
      </w:tr>
      <w:tr w:rsidR="00197B76" w:rsidRPr="00AC6258" w14:paraId="7E56A8FB" w14:textId="77777777" w:rsidTr="001D0CB3">
        <w:trPr>
          <w:trHeight w:val="231"/>
          <w:jc w:val="center"/>
        </w:trPr>
        <w:tc>
          <w:tcPr>
            <w:tcW w:w="23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A8F8" w14:textId="77777777" w:rsidR="00197B76" w:rsidRPr="00AC6258" w:rsidRDefault="00197B76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9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Funcție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A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 </w:t>
            </w:r>
          </w:p>
        </w:tc>
      </w:tr>
      <w:tr w:rsidR="00197B76" w:rsidRPr="00AC6258" w14:paraId="7E56A8FF" w14:textId="77777777" w:rsidTr="001D0CB3">
        <w:trPr>
          <w:trHeight w:val="231"/>
          <w:jc w:val="center"/>
        </w:trPr>
        <w:tc>
          <w:tcPr>
            <w:tcW w:w="23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A8FC" w14:textId="77777777" w:rsidR="00197B76" w:rsidRPr="00AC6258" w:rsidRDefault="00197B76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D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E-mail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8FE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 </w:t>
            </w:r>
          </w:p>
        </w:tc>
      </w:tr>
      <w:tr w:rsidR="00197B76" w:rsidRPr="00AC6258" w14:paraId="7E56A903" w14:textId="77777777" w:rsidTr="001D0CB3">
        <w:trPr>
          <w:trHeight w:val="231"/>
          <w:jc w:val="center"/>
        </w:trPr>
        <w:tc>
          <w:tcPr>
            <w:tcW w:w="23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A900" w14:textId="77777777" w:rsidR="00197B76" w:rsidRPr="00AC6258" w:rsidRDefault="00197B76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1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Nr. de tel.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2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noProof/>
                <w:lang w:val="ro-RO"/>
              </w:rPr>
              <w:t> </w:t>
            </w:r>
          </w:p>
        </w:tc>
      </w:tr>
      <w:tr w:rsidR="00197B76" w:rsidRPr="00AC6258" w14:paraId="7E56A905" w14:textId="77777777">
        <w:trPr>
          <w:trHeight w:val="770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A904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color w:val="C00000"/>
                <w:sz w:val="28"/>
                <w:szCs w:val="28"/>
                <w:u w:color="C00000"/>
                <w:lang w:val="ro-RO"/>
              </w:rPr>
              <w:t>INFORMAȚII APLICAȚIE</w:t>
            </w:r>
          </w:p>
        </w:tc>
      </w:tr>
      <w:tr w:rsidR="00197B76" w:rsidRPr="00AC6258" w14:paraId="7E56A908" w14:textId="77777777" w:rsidTr="001D0CB3">
        <w:trPr>
          <w:trHeight w:val="55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6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A907" w14:textId="6A1E511C" w:rsidR="00197B76" w:rsidRPr="00AC6258" w:rsidRDefault="000C7E7F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CEL MAI BUN PROGRAM DE LOIALITATE AL</w:t>
            </w:r>
            <w:r w:rsidR="004B2ED1" w:rsidRPr="00AC6258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 xml:space="preserve"> UNEI INSTITUȚII FINANCIARE ÎN 202</w:t>
            </w:r>
            <w:r w:rsidR="00AC6258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3</w:t>
            </w:r>
          </w:p>
        </w:tc>
      </w:tr>
      <w:tr w:rsidR="00197B76" w:rsidRPr="00AC6258" w14:paraId="7E56A90B" w14:textId="77777777" w:rsidTr="001D0CB3">
        <w:trPr>
          <w:trHeight w:val="25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9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A" w14:textId="59FF75A2" w:rsidR="00197B76" w:rsidRPr="00AC6258" w:rsidRDefault="005A138B">
            <w:pPr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Dimensiunea </w:t>
            </w:r>
            <w:r w:rsidR="004B2ED1"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programului de </w:t>
            </w:r>
            <w:r w:rsidR="000C7E7F"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loialitate</w:t>
            </w:r>
            <w:r w:rsidR="007B5F87"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197B76" w:rsidRPr="00AC6258" w14:paraId="7E56A90E" w14:textId="77777777" w:rsidTr="001D0CB3">
        <w:trPr>
          <w:trHeight w:val="23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C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D" w14:textId="281A8261" w:rsidR="00197B76" w:rsidRPr="00AC6258" w:rsidRDefault="004B2ED1">
            <w:pPr>
              <w:rPr>
                <w:rFonts w:ascii="Calibri" w:hAnsi="Calibri" w:cs="Calibri"/>
                <w:noProof/>
                <w:lang w:val="ro-RO"/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Numărul de participanți în programul de </w:t>
            </w:r>
            <w:r w:rsidR="000C7E7F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loialitate din total clien</w:t>
            </w:r>
            <w:r w:rsidR="00F7653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="000C7E7F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ai institu</w:t>
            </w:r>
            <w:r w:rsidR="00F7653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="000C7E7F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iei financiare</w:t>
            </w:r>
          </w:p>
        </w:tc>
      </w:tr>
      <w:tr w:rsidR="00197B76" w:rsidRPr="00AC6258" w14:paraId="7E56A911" w14:textId="77777777" w:rsidTr="001D0CB3">
        <w:trPr>
          <w:trHeight w:val="49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0F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0" w14:textId="2B98ED02" w:rsidR="00197B76" w:rsidRPr="00AC6258" w:rsidRDefault="004B2ED1">
            <w:pPr>
              <w:rPr>
                <w:rFonts w:ascii="Calibri" w:hAnsi="Calibri" w:cs="Calibri"/>
                <w:noProof/>
                <w:lang w:val="ro-RO"/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Impactul 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programului de loialitate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din perspectiva numărului de consumatori 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care au accesat ofertele din program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197B76" w:rsidRPr="00AC6258" w14:paraId="7E56A916" w14:textId="77777777" w:rsidTr="001D0CB3">
        <w:trPr>
          <w:trHeight w:val="100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2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3" w14:textId="77777777" w:rsidR="00197B76" w:rsidRPr="00AC6258" w:rsidRDefault="004B2ED1">
            <w:pP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val="single"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val="single"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Vă rugăm să precizați:</w:t>
            </w:r>
          </w:p>
          <w:p w14:paraId="7E56A914" w14:textId="0E937B91" w:rsidR="00197B76" w:rsidRPr="00AC6258" w:rsidRDefault="004B2ED1">
            <w:pPr>
              <w:numPr>
                <w:ilvl w:val="0"/>
                <w:numId w:val="1"/>
              </w:num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Câți participanți au 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accesat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programul de loialitate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pe parcursul anului 202</w:t>
            </w:r>
            <w:r w:rsid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0C7E7F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din total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ul</w:t>
            </w:r>
            <w:r w:rsidR="000C7E7F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clien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ilor eligilibili</w:t>
            </w:r>
          </w:p>
          <w:p w14:paraId="7E56A915" w14:textId="3157E23C" w:rsidR="00197B76" w:rsidRPr="00AC6258" w:rsidRDefault="004B2ED1">
            <w:pPr>
              <w:numPr>
                <w:ilvl w:val="0"/>
                <w:numId w:val="1"/>
              </w:num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Valoarea beneficiilor acordate prin program</w:t>
            </w:r>
            <w:r w:rsidR="005A138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medie per client</w:t>
            </w:r>
          </w:p>
        </w:tc>
      </w:tr>
      <w:tr w:rsidR="00197B76" w:rsidRPr="00AC6258" w14:paraId="7E56A91A" w14:textId="77777777">
        <w:trPr>
          <w:trHeight w:val="1558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7" w14:textId="77777777" w:rsidR="00197B76" w:rsidRPr="00AC6258" w:rsidRDefault="00197B76">
            <w:pPr>
              <w:pStyle w:val="BodyA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</w:pPr>
          </w:p>
          <w:p w14:paraId="7E56A918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  <w:t xml:space="preserve">INPUT </w:t>
            </w:r>
          </w:p>
          <w:p w14:paraId="45E5B292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 xml:space="preserve">De completat în această casetă de către reprezentanții </w:t>
            </w:r>
            <w:r w:rsidR="007D613A"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7E56A919" w14:textId="68956236" w:rsidR="007D613A" w:rsidRPr="00AC6258" w:rsidRDefault="007D613A">
            <w:pPr>
              <w:pStyle w:val="BodyA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197B76" w:rsidRPr="00AC6258" w14:paraId="7E56A91D" w14:textId="77777777" w:rsidTr="001D0CB3">
        <w:trPr>
          <w:trHeight w:val="22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B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C" w14:textId="4BC13B44" w:rsidR="00197B76" w:rsidRPr="00AC6258" w:rsidRDefault="007B5F87">
            <w:pPr>
              <w:rPr>
                <w:rFonts w:ascii="Calibri" w:hAnsi="Calibri" w:cs="Calibri"/>
                <w:noProof/>
                <w:lang w:val="ro-RO"/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ă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rul 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ș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varietatea ofertelor din programul de loialitate</w:t>
            </w:r>
          </w:p>
        </w:tc>
      </w:tr>
      <w:tr w:rsidR="00197B76" w:rsidRPr="00AC6258" w14:paraId="7E56A920" w14:textId="77777777" w:rsidTr="001D0CB3">
        <w:trPr>
          <w:trHeight w:val="48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E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1F" w14:textId="51329C1D" w:rsidR="00197B76" w:rsidRPr="00AC6258" w:rsidRDefault="005A138B">
            <w:pPr>
              <w:rPr>
                <w:rFonts w:ascii="Calibri" w:hAnsi="Calibri" w:cs="Calibri"/>
                <w:noProof/>
                <w:lang w:val="ro-RO"/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 w:rsid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â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 oferte au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fost disponibile </w:t>
            </w:r>
            <w:r w:rsidR="00980E6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în 202</w:t>
            </w:r>
            <w:r w:rsid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</w:t>
            </w:r>
            <w:r w:rsidR="00980E6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în cadrul programului de 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loialitate</w:t>
            </w:r>
            <w:r w:rsidR="00980E6B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oferite de comercian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i/parteneri sau de institu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ia financiar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ă</w:t>
            </w:r>
          </w:p>
        </w:tc>
      </w:tr>
      <w:tr w:rsidR="00197B76" w:rsidRPr="00AC6258" w14:paraId="7E56A926" w14:textId="77777777" w:rsidTr="001D0CB3">
        <w:trPr>
          <w:trHeight w:val="100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21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22" w14:textId="77777777" w:rsidR="00197B76" w:rsidRPr="00AC6258" w:rsidRDefault="004B2ED1">
            <w:pP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Vă rugăm să menționați:</w:t>
            </w:r>
          </w:p>
          <w:p w14:paraId="7E56A923" w14:textId="3A920889" w:rsidR="00197B76" w:rsidRPr="00AC6258" w:rsidRDefault="005A138B">
            <w:pPr>
              <w:numPr>
                <w:ilvl w:val="0"/>
                <w:numId w:val="2"/>
              </w:num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ă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rul de oferte di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ponibile 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î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anul 202</w:t>
            </w:r>
            <w:r w:rsid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  <w:p w14:paraId="7E56A925" w14:textId="5CF7F6A4" w:rsidR="00197B76" w:rsidRPr="00AC6258" w:rsidRDefault="005A138B" w:rsidP="00E363E8">
            <w:pPr>
              <w:numPr>
                <w:ilvl w:val="0"/>
                <w:numId w:val="2"/>
              </w:num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â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 industrii acoper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ă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ofertele din programul de loialitate (categorii de comercian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i, produse financiare, etc.)</w:t>
            </w:r>
          </w:p>
        </w:tc>
      </w:tr>
      <w:tr w:rsidR="00197B76" w:rsidRPr="00AC6258" w14:paraId="7E56A92A" w14:textId="77777777">
        <w:trPr>
          <w:trHeight w:val="1558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27" w14:textId="77777777" w:rsidR="00197B76" w:rsidRPr="00AC6258" w:rsidRDefault="00197B76">
            <w:pPr>
              <w:pStyle w:val="BodyA"/>
              <w:spacing w:after="0" w:line="240" w:lineRule="auto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7E56A928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  <w:t xml:space="preserve">INPUT </w:t>
            </w:r>
          </w:p>
          <w:p w14:paraId="49418359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 xml:space="preserve">De completat în această casetă  de către reprezentanții </w:t>
            </w:r>
            <w:r w:rsidR="007D613A"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7E56A929" w14:textId="75AEAD76" w:rsidR="007D613A" w:rsidRPr="00AC6258" w:rsidRDefault="007D613A">
            <w:pPr>
              <w:pStyle w:val="BodyA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197B76" w:rsidRPr="00AC6258" w14:paraId="7E56A92D" w14:textId="77777777" w:rsidTr="001D0CB3">
        <w:trPr>
          <w:trHeight w:val="25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2B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2C" w14:textId="094269B4" w:rsidR="00197B76" w:rsidRPr="00AC6258" w:rsidRDefault="007B5F87">
            <w:pPr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Experien</w:t>
            </w:r>
            <w:r w:rsidR="00E363E8"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de utilizare a clientului</w:t>
            </w:r>
          </w:p>
        </w:tc>
      </w:tr>
      <w:tr w:rsidR="00197B76" w:rsidRPr="00AC6258" w14:paraId="7E56A933" w14:textId="77777777" w:rsidTr="001D0CB3">
        <w:trPr>
          <w:trHeight w:val="48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31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32" w14:textId="167FF5D5" w:rsidR="00197B76" w:rsidRPr="00AC6258" w:rsidRDefault="004B2ED1">
            <w:pPr>
              <w:rPr>
                <w:rFonts w:ascii="Calibri" w:hAnsi="Calibri" w:cs="Calibri"/>
                <w:noProof/>
                <w:lang w:val="ro-RO"/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Consumatorul trebuie să aibă o experiență cât mai simplă și să poată</w:t>
            </w:r>
            <w:r w:rsidR="000102C6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accesa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beneficiile </w:t>
            </w:r>
            <w:r w:rsidR="007B5F87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programului de loialitate u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ș</w:t>
            </w:r>
            <w:r w:rsidR="007B5F87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or 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ș</w:t>
            </w:r>
            <w:r w:rsidR="007B5F87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rapid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197B76" w:rsidRPr="00AC6258" w14:paraId="7E56A93A" w14:textId="77777777" w:rsidTr="00D15F7D">
        <w:trPr>
          <w:trHeight w:val="826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34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35" w14:textId="77777777" w:rsidR="00197B76" w:rsidRPr="00AC6258" w:rsidRDefault="004B2ED1">
            <w:pP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Vă rugăm să precizați (după caz):</w:t>
            </w:r>
          </w:p>
          <w:p w14:paraId="7E56A937" w14:textId="77777777" w:rsidR="00197B76" w:rsidRPr="00AC6258" w:rsidRDefault="004B2ED1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Care sunt pașii pe care un consumator trebuie să îi parcurgă pentru a obține premiile/reward-urile din cadrul programului</w:t>
            </w:r>
          </w:p>
          <w:p w14:paraId="181C3202" w14:textId="3EF2F07F" w:rsidR="00E421FF" w:rsidRPr="00AC6258" w:rsidRDefault="007B5F87" w:rsidP="007B5F87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Tipul de beneficii acordate (cashback, voucher, loterie, puncte etc.)</w:t>
            </w:r>
          </w:p>
          <w:p w14:paraId="7E56A939" w14:textId="6013A3FD" w:rsidR="00197B76" w:rsidRPr="00AC6258" w:rsidRDefault="00E421FF" w:rsidP="00E363E8">
            <w:pPr>
              <w:numPr>
                <w:ilvl w:val="0"/>
                <w:numId w:val="3"/>
              </w:num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 w:rsidR="007B5F87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riteriile de eligilitate ale ben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="007B5F87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ficiilor</w:t>
            </w:r>
          </w:p>
        </w:tc>
      </w:tr>
      <w:tr w:rsidR="00197B76" w:rsidRPr="00AC6258" w14:paraId="7E56A93E" w14:textId="77777777">
        <w:trPr>
          <w:trHeight w:val="1201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3B" w14:textId="77777777" w:rsidR="00197B76" w:rsidRPr="00AC6258" w:rsidRDefault="00197B76">
            <w:pPr>
              <w:pStyle w:val="BodyA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</w:pPr>
          </w:p>
          <w:p w14:paraId="7E56A93C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  <w:t xml:space="preserve">INPUT </w:t>
            </w:r>
          </w:p>
          <w:p w14:paraId="77D79DE4" w14:textId="77777777" w:rsidR="00197B76" w:rsidRPr="00AC6258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 xml:space="preserve">De completat în această casetă de către reprezentanții </w:t>
            </w:r>
            <w:r w:rsidR="007D613A"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7E56A93D" w14:textId="7158D45B" w:rsidR="007D613A" w:rsidRPr="00AC6258" w:rsidRDefault="007D613A">
            <w:pPr>
              <w:pStyle w:val="BodyA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197B76" w:rsidRPr="00AC6258" w14:paraId="7E56A941" w14:textId="77777777" w:rsidTr="00D15F7D">
        <w:trPr>
          <w:trHeight w:val="18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3F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III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40" w14:textId="1845516D" w:rsidR="00197B76" w:rsidRPr="00AC6258" w:rsidRDefault="001D0CB3">
            <w:pPr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Gradul </w:t>
            </w:r>
            <w:r w:rsidR="00E421FF" w:rsidRPr="00AC6258">
              <w:rPr>
                <w:rFonts w:ascii="Calibri" w:hAnsi="Calibri" w:cs="Calibri"/>
                <w:b/>
                <w:bCs/>
                <w:noProof/>
                <w:color w:val="000000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 inovare al programului de loialitate</w:t>
            </w:r>
          </w:p>
        </w:tc>
      </w:tr>
      <w:tr w:rsidR="00197B76" w:rsidRPr="00AC6258" w14:paraId="7E56A947" w14:textId="77777777" w:rsidTr="007D613A">
        <w:trPr>
          <w:trHeight w:val="495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45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46" w14:textId="45EB959C" w:rsidR="00197B76" w:rsidRPr="00AC6258" w:rsidRDefault="00E421FF">
            <w:pPr>
              <w:rPr>
                <w:rFonts w:ascii="Calibri" w:hAnsi="Calibri" w:cs="Calibri"/>
                <w:noProof/>
                <w:lang w:val="ro-RO"/>
              </w:rPr>
            </w:pP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Care sunt aspectele inovat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oar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c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diferen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iaz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ă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programul de loialitate 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î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pia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ț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din Rom</w:t>
            </w:r>
            <w:r w:rsidR="00E363E8"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â</w:t>
            </w:r>
            <w:r w:rsidRPr="00AC6258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nia</w:t>
            </w:r>
          </w:p>
        </w:tc>
      </w:tr>
      <w:tr w:rsidR="00197B76" w:rsidRPr="00AC6258" w14:paraId="7E56A94E" w14:textId="77777777" w:rsidTr="00D15F7D">
        <w:trPr>
          <w:trHeight w:val="187"/>
          <w:jc w:val="center"/>
        </w:trPr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48" w14:textId="77777777" w:rsidR="00197B76" w:rsidRPr="00AC6258" w:rsidRDefault="004B2ED1">
            <w:pPr>
              <w:pStyle w:val="BodyA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lang w:val="ro-RO"/>
              </w:rPr>
              <w:lastRenderedPageBreak/>
              <w:t>Instrucțiuni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4D" w14:textId="57484F04" w:rsidR="00E421FF" w:rsidRPr="00AC6258" w:rsidRDefault="00E421FF" w:rsidP="00E363E8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C625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Text</w:t>
            </w:r>
            <w:r w:rsidR="00E363E8" w:rsidRPr="00AC625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argumentativ</w:t>
            </w:r>
            <w:r w:rsidRPr="00AC625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: max. 500 de cuvinte</w:t>
            </w:r>
          </w:p>
        </w:tc>
      </w:tr>
      <w:tr w:rsidR="00197B76" w:rsidRPr="00AC6258" w14:paraId="7E56A952" w14:textId="77777777">
        <w:trPr>
          <w:trHeight w:val="1558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A950" w14:textId="5859788E" w:rsidR="00197B76" w:rsidRPr="00AC6258" w:rsidRDefault="004B2ED1" w:rsidP="00AC6258">
            <w:pPr>
              <w:pStyle w:val="BodyA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</w:pPr>
            <w:r w:rsidRPr="00AC6258">
              <w:rPr>
                <w:rFonts w:cs="Calibri"/>
                <w:b/>
                <w:bCs/>
                <w:noProof/>
                <w:color w:val="C45911"/>
                <w:sz w:val="28"/>
                <w:szCs w:val="28"/>
                <w:u w:color="C45911"/>
                <w:lang w:val="ro-RO"/>
              </w:rPr>
              <w:t>INPUT</w:t>
            </w:r>
          </w:p>
          <w:p w14:paraId="7E0C1C10" w14:textId="77777777" w:rsidR="00197B76" w:rsidRDefault="004B2ED1">
            <w:pPr>
              <w:pStyle w:val="BodyA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  <w:r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 xml:space="preserve">De completat în această casetă de către reprezentanții </w:t>
            </w:r>
            <w:r w:rsidR="007D613A" w:rsidRPr="00AC6258"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  <w:t>instituțiilor financiare</w:t>
            </w:r>
          </w:p>
          <w:p w14:paraId="065BE52B" w14:textId="77777777" w:rsidR="00AC6258" w:rsidRDefault="00AC6258">
            <w:pPr>
              <w:pStyle w:val="BodyA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/>
                <w:u w:color="C45911"/>
                <w:lang w:val="ro-RO"/>
              </w:rPr>
            </w:pPr>
          </w:p>
          <w:p w14:paraId="7E56A951" w14:textId="46724B2F" w:rsidR="00AC6258" w:rsidRPr="00AC6258" w:rsidRDefault="00AC6258">
            <w:pPr>
              <w:pStyle w:val="BodyA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</w:tbl>
    <w:p w14:paraId="7E56A953" w14:textId="77777777" w:rsidR="00197B76" w:rsidRPr="00AC6258" w:rsidRDefault="00197B76">
      <w:pPr>
        <w:pStyle w:val="BodyA"/>
        <w:widowControl w:val="0"/>
        <w:spacing w:line="240" w:lineRule="auto"/>
        <w:jc w:val="center"/>
        <w:rPr>
          <w:rFonts w:cs="Calibri"/>
          <w:noProof/>
          <w:lang w:val="ro-RO"/>
        </w:rPr>
      </w:pPr>
    </w:p>
    <w:sectPr w:rsidR="00197B76" w:rsidRPr="00AC6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262B" w14:textId="77777777" w:rsidR="00CE7CD4" w:rsidRDefault="00CE7CD4">
      <w:r>
        <w:separator/>
      </w:r>
    </w:p>
  </w:endnote>
  <w:endnote w:type="continuationSeparator" w:id="0">
    <w:p w14:paraId="42735BAD" w14:textId="77777777" w:rsidR="00CE7CD4" w:rsidRDefault="00C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70E8" w14:textId="77777777" w:rsidR="000C7E7F" w:rsidRDefault="000C7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A955" w14:textId="77777777" w:rsidR="00197B76" w:rsidRPr="00045361" w:rsidRDefault="004B2ED1">
    <w:pPr>
      <w:pStyle w:val="Footer"/>
      <w:rPr>
        <w:noProof/>
        <w:lang w:val="ro-RO"/>
      </w:rPr>
    </w:pPr>
    <w:r w:rsidRPr="00045361">
      <w:rPr>
        <w:i/>
        <w:iCs/>
        <w:noProof/>
        <w:color w:val="A6A6A6"/>
        <w:sz w:val="20"/>
        <w:szCs w:val="20"/>
        <w:u w:color="A6A6A6"/>
        <w:lang w:val="ro-RO"/>
      </w:rPr>
      <w:t>Din rațiuni de confidențialitate, acest material este destinat doar juriului Mastercard Bank of the Year. Informațiile din conținutul acestui material nu pot fi publicate sau dezvăluite altor audiențe.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611E" w14:textId="77777777" w:rsidR="000C7E7F" w:rsidRDefault="000C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CFD9" w14:textId="77777777" w:rsidR="00CE7CD4" w:rsidRDefault="00CE7CD4">
      <w:r>
        <w:separator/>
      </w:r>
    </w:p>
  </w:footnote>
  <w:footnote w:type="continuationSeparator" w:id="0">
    <w:p w14:paraId="2675CDF4" w14:textId="77777777" w:rsidR="00CE7CD4" w:rsidRDefault="00C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3F8F" w14:textId="77777777" w:rsidR="000C7E7F" w:rsidRDefault="000C7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A954" w14:textId="77777777" w:rsidR="00197B76" w:rsidRDefault="004B2ED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E56A956" wp14:editId="7E56A957">
          <wp:simplePos x="0" y="0"/>
          <wp:positionH relativeFrom="page">
            <wp:posOffset>3268980</wp:posOffset>
          </wp:positionH>
          <wp:positionV relativeFrom="page">
            <wp:posOffset>548640</wp:posOffset>
          </wp:positionV>
          <wp:extent cx="1197610" cy="739140"/>
          <wp:effectExtent l="0" t="0" r="0" b="0"/>
          <wp:wrapNone/>
          <wp:docPr id="1073741825" name="officeArt object" descr="Mastercard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card - Wikipedia" descr="Mastercard - Wikiped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610" cy="739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E52" w14:textId="77777777" w:rsidR="000C7E7F" w:rsidRDefault="000C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AA5"/>
    <w:multiLevelType w:val="hybridMultilevel"/>
    <w:tmpl w:val="A2DA06AA"/>
    <w:lvl w:ilvl="0" w:tplc="EA0C5D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08CD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6F8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8403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6EF8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34789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4EDB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4E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ABB8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A158B8"/>
    <w:multiLevelType w:val="hybridMultilevel"/>
    <w:tmpl w:val="B5365640"/>
    <w:lvl w:ilvl="0" w:tplc="5226F96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2CC4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C87D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4552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0C81F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C7CE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87FD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E764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AE9E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1A0668"/>
    <w:multiLevelType w:val="hybridMultilevel"/>
    <w:tmpl w:val="FC921702"/>
    <w:lvl w:ilvl="0" w:tplc="FDD0DCF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2B4C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838A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A6BA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EFF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6FAF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06A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CEB6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03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9A1D03"/>
    <w:multiLevelType w:val="hybridMultilevel"/>
    <w:tmpl w:val="8C2E6780"/>
    <w:lvl w:ilvl="0" w:tplc="F348AB4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4D93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A739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25A9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1A238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6BEA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6F6D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C702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8F39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9426562">
    <w:abstractNumId w:val="3"/>
  </w:num>
  <w:num w:numId="2" w16cid:durableId="719672955">
    <w:abstractNumId w:val="2"/>
  </w:num>
  <w:num w:numId="3" w16cid:durableId="2095013050">
    <w:abstractNumId w:val="0"/>
  </w:num>
  <w:num w:numId="4" w16cid:durableId="178114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76"/>
    <w:rsid w:val="000102C6"/>
    <w:rsid w:val="00045361"/>
    <w:rsid w:val="000C7E7F"/>
    <w:rsid w:val="00197B76"/>
    <w:rsid w:val="001D0CB3"/>
    <w:rsid w:val="003B18E2"/>
    <w:rsid w:val="004B2ED1"/>
    <w:rsid w:val="004C533B"/>
    <w:rsid w:val="005A138B"/>
    <w:rsid w:val="007B5F87"/>
    <w:rsid w:val="007D613A"/>
    <w:rsid w:val="00980E6B"/>
    <w:rsid w:val="00A05FB9"/>
    <w:rsid w:val="00A3357A"/>
    <w:rsid w:val="00AC6258"/>
    <w:rsid w:val="00C94162"/>
    <w:rsid w:val="00CE7CD4"/>
    <w:rsid w:val="00D15F7D"/>
    <w:rsid w:val="00DC2AA3"/>
    <w:rsid w:val="00E363E8"/>
    <w:rsid w:val="00E421FF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6A8E9"/>
  <w15:docId w15:val="{25129B43-70C0-4ADD-B933-48982A8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0C7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E4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1E00E-28B0-40C6-8D80-4841A63A2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9A253-AFB9-47CF-8678-46DB55BC9606}">
  <ds:schemaRefs>
    <ds:schemaRef ds:uri="http://schemas.microsoft.com/office/2006/documentManagement/types"/>
    <ds:schemaRef ds:uri="http://schemas.microsoft.com/office/infopath/2007/PartnerControls"/>
    <ds:schemaRef ds:uri="386f718f-df6d-452a-8582-bbaefbdf32c9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18bc4b0f-eeb7-463a-83a5-79862cd46e3c"/>
  </ds:schemaRefs>
</ds:datastoreItem>
</file>

<file path=customXml/itemProps3.xml><?xml version="1.0" encoding="utf-8"?>
<ds:datastoreItem xmlns:ds="http://schemas.openxmlformats.org/officeDocument/2006/customXml" ds:itemID="{128BB67A-6BD0-4109-BB06-7D3E3A0F1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Ciupală, Mihaela</dc:creator>
  <cp:lastModifiedBy>Chivu, Alexandra (BCH-GOL)</cp:lastModifiedBy>
  <cp:revision>6</cp:revision>
  <dcterms:created xsi:type="dcterms:W3CDTF">2023-03-27T13:01:00Z</dcterms:created>
  <dcterms:modified xsi:type="dcterms:W3CDTF">2024-03-19T10:59:00Z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2f77bf-ac71-4d31-be38-cc6a5f811e56_Enabled">
    <vt:lpwstr>true</vt:lpwstr>
  </property>
  <property fmtid="{D5CDD505-2E9C-101B-9397-08002B2CF9AE}" pid="3" name="MSIP_Label_df2f77bf-ac71-4d31-be38-cc6a5f811e56_SetDate">
    <vt:lpwstr>2023-03-27T13:00:37Z</vt:lpwstr>
  </property>
  <property fmtid="{D5CDD505-2E9C-101B-9397-08002B2CF9AE}" pid="4" name="MSIP_Label_df2f77bf-ac71-4d31-be38-cc6a5f811e56_Method">
    <vt:lpwstr>Privileged</vt:lpwstr>
  </property>
  <property fmtid="{D5CDD505-2E9C-101B-9397-08002B2CF9AE}" pid="5" name="MSIP_Label_df2f77bf-ac71-4d31-be38-cc6a5f811e56_Name">
    <vt:lpwstr>Restricted</vt:lpwstr>
  </property>
  <property fmtid="{D5CDD505-2E9C-101B-9397-08002B2CF9AE}" pid="6" name="MSIP_Label_df2f77bf-ac71-4d31-be38-cc6a5f811e56_SiteId">
    <vt:lpwstr>f06fa858-824b-4a85-aacb-f372cfdc282e</vt:lpwstr>
  </property>
  <property fmtid="{D5CDD505-2E9C-101B-9397-08002B2CF9AE}" pid="7" name="MSIP_Label_df2f77bf-ac71-4d31-be38-cc6a5f811e56_ActionId">
    <vt:lpwstr>ac291d41-81e8-4151-ba26-8793b93c1fea</vt:lpwstr>
  </property>
  <property fmtid="{D5CDD505-2E9C-101B-9397-08002B2CF9AE}" pid="8" name="MSIP_Label_df2f77bf-ac71-4d31-be38-cc6a5f811e56_ContentBits">
    <vt:lpwstr>0</vt:lpwstr>
  </property>
  <property fmtid="{D5CDD505-2E9C-101B-9397-08002B2CF9AE}" pid="9" name="ContentTypeId">
    <vt:lpwstr>0x01010069B9B484165D0848BC6B8982317DC8E2</vt:lpwstr>
  </property>
  <property fmtid="{D5CDD505-2E9C-101B-9397-08002B2CF9AE}" pid="10" name="MediaServiceImageTags">
    <vt:lpwstr/>
  </property>
</Properties>
</file>